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horzAnchor="page" w:tblpX="1853" w:tblpY="36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4"/>
        <w:gridCol w:w="6385"/>
      </w:tblGrid>
      <w:tr w14:paraId="7A12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54" w:type="dxa"/>
            <w:noWrap w:val="0"/>
            <w:vAlign w:val="center"/>
          </w:tcPr>
          <w:p w14:paraId="0651D465">
            <w:pPr>
              <w:jc w:val="center"/>
              <w:rPr>
                <w:rFonts w:hint="eastAsia" w:ascii="仿宋_GB2312" w:hAnsi="仿宋_GB2312" w:eastAsia="仿宋_GB2312" w:cs="仿宋_GB2312"/>
                <w:color w:val="auto"/>
              </w:rPr>
            </w:pPr>
            <w:bookmarkStart w:id="0" w:name="_GoBack"/>
            <w:bookmarkEnd w:id="0"/>
            <w:r>
              <w:rPr>
                <w:rFonts w:hint="eastAsia" w:ascii="仿宋_GB2312" w:hAnsi="仿宋_GB2312" w:eastAsia="仿宋_GB2312" w:cs="仿宋_GB2312"/>
                <w:color w:val="auto"/>
              </w:rPr>
              <w:t>当事人</w:t>
            </w:r>
          </w:p>
        </w:tc>
        <w:tc>
          <w:tcPr>
            <w:tcW w:w="6385" w:type="dxa"/>
            <w:noWrap w:val="0"/>
            <w:vAlign w:val="center"/>
          </w:tcPr>
          <w:p w14:paraId="2CBAFD2C">
            <w:pPr>
              <w:jc w:val="left"/>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平顶山天安煤业九矿有限责任公司</w:t>
            </w:r>
          </w:p>
        </w:tc>
      </w:tr>
      <w:tr w14:paraId="4DB6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54" w:type="dxa"/>
            <w:noWrap w:val="0"/>
            <w:vAlign w:val="center"/>
          </w:tcPr>
          <w:p w14:paraId="577DEDB5">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社会信用代码</w:t>
            </w:r>
          </w:p>
        </w:tc>
        <w:tc>
          <w:tcPr>
            <w:tcW w:w="6385" w:type="dxa"/>
            <w:noWrap w:val="0"/>
            <w:vAlign w:val="center"/>
          </w:tcPr>
          <w:p w14:paraId="5014BC9D">
            <w:pPr>
              <w:jc w:val="left"/>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91410400171751693U</w:t>
            </w:r>
          </w:p>
        </w:tc>
      </w:tr>
      <w:tr w14:paraId="086F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2054" w:type="dxa"/>
            <w:noWrap w:val="0"/>
            <w:vAlign w:val="center"/>
          </w:tcPr>
          <w:p w14:paraId="600D4CF6">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案件名称</w:t>
            </w:r>
          </w:p>
        </w:tc>
        <w:tc>
          <w:tcPr>
            <w:tcW w:w="6385" w:type="dxa"/>
            <w:noWrap w:val="0"/>
            <w:vAlign w:val="center"/>
          </w:tcPr>
          <w:p w14:paraId="7C4228BA">
            <w:pPr>
              <w:jc w:val="left"/>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平顶山天安煤业九矿有限责任公司未采取措施消除事故隐患、未按规定管理顶帮或者支护违法违规案</w:t>
            </w:r>
          </w:p>
        </w:tc>
      </w:tr>
      <w:tr w14:paraId="62E3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54" w:type="dxa"/>
            <w:noWrap w:val="0"/>
            <w:vAlign w:val="center"/>
          </w:tcPr>
          <w:p w14:paraId="7D0B3576">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处罚决定书文号</w:t>
            </w:r>
          </w:p>
        </w:tc>
        <w:tc>
          <w:tcPr>
            <w:tcW w:w="6385" w:type="dxa"/>
            <w:noWrap w:val="0"/>
            <w:vAlign w:val="center"/>
          </w:tcPr>
          <w:p w14:paraId="0074084A">
            <w:pPr>
              <w:jc w:val="left"/>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（平）应急罚〔2026〕 14 号</w:t>
            </w:r>
          </w:p>
        </w:tc>
      </w:tr>
      <w:tr w14:paraId="2F976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2054" w:type="dxa"/>
            <w:noWrap w:val="0"/>
            <w:vAlign w:val="center"/>
          </w:tcPr>
          <w:p w14:paraId="63295C3B">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处罚决定时间</w:t>
            </w:r>
          </w:p>
        </w:tc>
        <w:tc>
          <w:tcPr>
            <w:tcW w:w="6385" w:type="dxa"/>
            <w:noWrap w:val="0"/>
            <w:vAlign w:val="center"/>
          </w:tcPr>
          <w:p w14:paraId="2B32ED9C">
            <w:pPr>
              <w:jc w:val="left"/>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2026年</w:t>
            </w:r>
            <w:r>
              <w:rPr>
                <w:rFonts w:hint="default" w:ascii="仿宋_GB2312" w:hAnsi="仿宋_GB2312" w:eastAsia="仿宋_GB2312" w:cs="仿宋_GB2312"/>
                <w:color w:val="auto"/>
                <w:kern w:val="2"/>
                <w:sz w:val="21"/>
                <w:szCs w:val="24"/>
                <w:lang w:val="en-US" w:eastAsia="zh-CN" w:bidi="ar-SA"/>
              </w:rPr>
              <w:t>7</w:t>
            </w:r>
            <w:r>
              <w:rPr>
                <w:rFonts w:hint="eastAsia" w:ascii="仿宋_GB2312" w:hAnsi="仿宋_GB2312" w:eastAsia="仿宋_GB2312" w:cs="仿宋_GB2312"/>
                <w:color w:val="auto"/>
                <w:kern w:val="2"/>
                <w:sz w:val="21"/>
                <w:szCs w:val="24"/>
                <w:lang w:val="en-US" w:eastAsia="zh-CN" w:bidi="ar-SA"/>
              </w:rPr>
              <w:t>月</w:t>
            </w:r>
            <w:r>
              <w:rPr>
                <w:rFonts w:hint="default" w:ascii="仿宋_GB2312" w:hAnsi="仿宋_GB2312" w:eastAsia="仿宋_GB2312" w:cs="仿宋_GB2312"/>
                <w:color w:val="auto"/>
                <w:kern w:val="2"/>
                <w:sz w:val="21"/>
                <w:szCs w:val="24"/>
                <w:lang w:val="en-US" w:eastAsia="zh-CN" w:bidi="ar-SA"/>
              </w:rPr>
              <w:t>7</w:t>
            </w:r>
            <w:r>
              <w:rPr>
                <w:rFonts w:hint="eastAsia" w:ascii="仿宋_GB2312" w:hAnsi="仿宋_GB2312" w:eastAsia="仿宋_GB2312" w:cs="仿宋_GB2312"/>
                <w:color w:val="auto"/>
                <w:kern w:val="2"/>
                <w:sz w:val="21"/>
                <w:szCs w:val="24"/>
                <w:lang w:val="en-US" w:eastAsia="zh-CN" w:bidi="ar-SA"/>
              </w:rPr>
              <w:t>日</w:t>
            </w:r>
          </w:p>
        </w:tc>
      </w:tr>
      <w:tr w14:paraId="761F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2054" w:type="dxa"/>
            <w:noWrap w:val="0"/>
            <w:vAlign w:val="center"/>
          </w:tcPr>
          <w:p w14:paraId="181B0CA4">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处罚结果</w:t>
            </w:r>
          </w:p>
        </w:tc>
        <w:tc>
          <w:tcPr>
            <w:tcW w:w="6385" w:type="dxa"/>
            <w:noWrap w:val="0"/>
            <w:vAlign w:val="center"/>
          </w:tcPr>
          <w:p w14:paraId="5648F42C">
            <w:pPr>
              <w:jc w:val="left"/>
              <w:rPr>
                <w:rFonts w:hint="default"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US" w:eastAsia="zh-CN" w:bidi="ar-SA"/>
              </w:rPr>
              <w:t>俩类违法行为分别裁量、合并处罚，处人民币肆万捌仟元整（¥48000）罚款的行政处罚。</w:t>
            </w:r>
          </w:p>
        </w:tc>
      </w:tr>
      <w:tr w14:paraId="5ADA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4" w:hRule="atLeast"/>
        </w:trPr>
        <w:tc>
          <w:tcPr>
            <w:tcW w:w="2054" w:type="dxa"/>
            <w:noWrap w:val="0"/>
            <w:vAlign w:val="center"/>
          </w:tcPr>
          <w:p w14:paraId="6EBE60E5">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处罚事由</w:t>
            </w:r>
          </w:p>
        </w:tc>
        <w:tc>
          <w:tcPr>
            <w:tcW w:w="6385" w:type="dxa"/>
            <w:noWrap w:val="0"/>
            <w:vAlign w:val="center"/>
          </w:tcPr>
          <w:p w14:paraId="6BE9B050">
            <w:pPr>
              <w:pStyle w:val="3"/>
              <w:keepNext w:val="0"/>
              <w:keepLines w:val="0"/>
              <w:pageBreakBefore w:val="0"/>
              <w:kinsoku/>
              <w:wordWrap/>
              <w:overflowPunct/>
              <w:topLinePunct w:val="0"/>
              <w:autoSpaceDE/>
              <w:autoSpaceDN/>
              <w:bidi w:val="0"/>
              <w:adjustRightInd/>
              <w:snapToGrid/>
              <w:spacing w:line="460" w:lineRule="exact"/>
              <w:ind w:firstLine="420" w:firstLineChars="200"/>
              <w:jc w:val="left"/>
              <w:textAlignment w:val="auto"/>
              <w:rPr>
                <w:rFonts w:hint="default"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kern w:val="2"/>
                <w:sz w:val="21"/>
                <w:szCs w:val="24"/>
                <w:lang w:val="en" w:eastAsia="zh-CN" w:bidi="ar-SA"/>
              </w:rPr>
              <w:t>2026年5月19日至20日，平顶山市应急管理局对平顶山天安煤业九矿有限责任公司进行了瓦斯防治、安全培训行政检查，本次检查中发现该单位存在23条问题，经梳理其中4条问题达到立案标准，这</w:t>
            </w:r>
            <w:r>
              <w:rPr>
                <w:rFonts w:hint="eastAsia" w:ascii="仿宋_GB2312" w:hAnsi="仿宋_GB2312" w:eastAsia="仿宋_GB2312" w:cs="仿宋_GB2312"/>
                <w:color w:val="auto"/>
                <w:kern w:val="2"/>
                <w:sz w:val="21"/>
                <w:szCs w:val="24"/>
                <w:lang w:val="en-US" w:eastAsia="zh-CN" w:bidi="ar-SA"/>
              </w:rPr>
              <w:t>4</w:t>
            </w:r>
            <w:r>
              <w:rPr>
                <w:rFonts w:hint="eastAsia" w:ascii="仿宋_GB2312" w:hAnsi="仿宋_GB2312" w:eastAsia="仿宋_GB2312" w:cs="仿宋_GB2312"/>
                <w:color w:val="auto"/>
                <w:kern w:val="2"/>
                <w:sz w:val="21"/>
                <w:szCs w:val="24"/>
                <w:lang w:val="en" w:eastAsia="zh-CN" w:bidi="ar-SA"/>
              </w:rPr>
              <w:t>条问题属于</w:t>
            </w:r>
            <w:r>
              <w:rPr>
                <w:rFonts w:hint="eastAsia" w:ascii="仿宋_GB2312" w:hAnsi="仿宋_GB2312" w:eastAsia="仿宋_GB2312" w:cs="仿宋_GB2312"/>
                <w:color w:val="auto"/>
                <w:kern w:val="2"/>
                <w:sz w:val="21"/>
                <w:szCs w:val="24"/>
                <w:lang w:val="en-US" w:eastAsia="zh-CN" w:bidi="ar-SA"/>
              </w:rPr>
              <w:t>2</w:t>
            </w:r>
            <w:r>
              <w:rPr>
                <w:rFonts w:hint="eastAsia" w:ascii="仿宋_GB2312" w:hAnsi="仿宋_GB2312" w:eastAsia="仿宋_GB2312" w:cs="仿宋_GB2312"/>
                <w:color w:val="auto"/>
                <w:kern w:val="2"/>
                <w:sz w:val="21"/>
                <w:szCs w:val="24"/>
                <w:lang w:val="en" w:eastAsia="zh-CN" w:bidi="ar-SA"/>
              </w:rPr>
              <w:t>类违法违规行为：行为一，未采取措施消除事故隐患；行为二，未按规定管理顶帮或者支护。</w:t>
            </w:r>
          </w:p>
        </w:tc>
      </w:tr>
      <w:tr w14:paraId="3370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2054" w:type="dxa"/>
            <w:noWrap w:val="0"/>
            <w:vAlign w:val="center"/>
          </w:tcPr>
          <w:p w14:paraId="0F576CF4">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处罚依据</w:t>
            </w:r>
          </w:p>
        </w:tc>
        <w:tc>
          <w:tcPr>
            <w:tcW w:w="6385" w:type="dxa"/>
            <w:noWrap w:val="0"/>
            <w:vAlign w:val="center"/>
          </w:tcPr>
          <w:p w14:paraId="0895A93A">
            <w:pPr>
              <w:pStyle w:val="3"/>
              <w:keepNext w:val="0"/>
              <w:keepLines w:val="0"/>
              <w:pageBreakBefore w:val="0"/>
              <w:kinsoku/>
              <w:wordWrap/>
              <w:overflowPunct/>
              <w:topLinePunct w:val="0"/>
              <w:autoSpaceDE/>
              <w:autoSpaceDN/>
              <w:bidi w:val="0"/>
              <w:adjustRightInd/>
              <w:snapToGrid/>
              <w:spacing w:line="460" w:lineRule="exact"/>
              <w:ind w:firstLine="420" w:firstLineChars="200"/>
              <w:jc w:val="left"/>
              <w:textAlignment w:val="auto"/>
              <w:rPr>
                <w:rFonts w:hint="eastAsia"/>
              </w:rPr>
            </w:pPr>
            <w:r>
              <w:rPr>
                <w:rFonts w:hint="eastAsia" w:ascii="仿宋_GB2312" w:hAnsi="仿宋_GB2312" w:eastAsia="仿宋_GB2312" w:cs="仿宋_GB2312"/>
                <w:color w:val="auto"/>
                <w:kern w:val="2"/>
                <w:sz w:val="21"/>
                <w:szCs w:val="24"/>
                <w:lang w:val="en-US" w:eastAsia="zh-CN" w:bidi="ar-SA"/>
              </w:rPr>
              <w:t>违反了《中华人民共和国安全生产法》第四十一条第二款、《矿山安全法实施条例》第十七条第一款规定，依据《中华人民共和国安全生产法》</w:t>
            </w:r>
            <w:r>
              <w:rPr>
                <w:rFonts w:hint="default" w:ascii="仿宋_GB2312" w:hAnsi="仿宋_GB2312" w:eastAsia="仿宋_GB2312" w:cs="仿宋_GB2312"/>
                <w:color w:val="auto"/>
                <w:kern w:val="2"/>
                <w:sz w:val="21"/>
                <w:szCs w:val="24"/>
                <w:lang w:val="en-US" w:eastAsia="zh-CN" w:bidi="ar-SA"/>
              </w:rPr>
              <w:t>第一百零二条</w:t>
            </w:r>
            <w:r>
              <w:rPr>
                <w:rFonts w:hint="eastAsia" w:ascii="仿宋_GB2312" w:hAnsi="仿宋_GB2312" w:eastAsia="仿宋_GB2312" w:cs="仿宋_GB2312"/>
                <w:color w:val="auto"/>
                <w:kern w:val="2"/>
                <w:sz w:val="21"/>
                <w:szCs w:val="24"/>
                <w:lang w:val="en-US" w:eastAsia="zh-CN" w:bidi="ar-SA"/>
              </w:rPr>
              <w:t>、《矿山安全法实施条例》第五十四条规定进行处罚。</w:t>
            </w:r>
          </w:p>
        </w:tc>
      </w:tr>
      <w:tr w14:paraId="49BC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54" w:type="dxa"/>
            <w:noWrap w:val="0"/>
            <w:vAlign w:val="center"/>
          </w:tcPr>
          <w:p w14:paraId="4EC5C5CA">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救济渠道</w:t>
            </w:r>
          </w:p>
        </w:tc>
        <w:tc>
          <w:tcPr>
            <w:tcW w:w="6385" w:type="dxa"/>
            <w:noWrap w:val="0"/>
            <w:vAlign w:val="center"/>
          </w:tcPr>
          <w:p w14:paraId="7555FA2C">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行政复议或行政诉讼</w:t>
            </w:r>
          </w:p>
        </w:tc>
      </w:tr>
      <w:tr w14:paraId="6D20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054" w:type="dxa"/>
            <w:noWrap w:val="0"/>
            <w:vAlign w:val="center"/>
          </w:tcPr>
          <w:p w14:paraId="2D48C8F4">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其他</w:t>
            </w:r>
          </w:p>
        </w:tc>
        <w:tc>
          <w:tcPr>
            <w:tcW w:w="6385" w:type="dxa"/>
            <w:noWrap w:val="0"/>
            <w:vAlign w:val="center"/>
          </w:tcPr>
          <w:p w14:paraId="52FF9525">
            <w:pPr>
              <w:rPr>
                <w:rFonts w:hint="eastAsia" w:ascii="仿宋_GB2312" w:hAnsi="仿宋_GB2312" w:eastAsia="仿宋_GB2312" w:cs="仿宋_GB2312"/>
                <w:color w:val="auto"/>
              </w:rPr>
            </w:pPr>
          </w:p>
        </w:tc>
      </w:tr>
    </w:tbl>
    <w:p w14:paraId="426FDF99">
      <w:pPr>
        <w:pStyle w:val="4"/>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6"/>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BF75630"/>
    <w:rsid w:val="1C0263A6"/>
    <w:rsid w:val="575F8AA1"/>
    <w:rsid w:val="6040632A"/>
    <w:rsid w:val="79FF8A8D"/>
    <w:rsid w:val="7CCFD611"/>
    <w:rsid w:val="7DFF64AE"/>
    <w:rsid w:val="7FEBA828"/>
    <w:rsid w:val="97FD23B7"/>
    <w:rsid w:val="9ECF66F7"/>
    <w:rsid w:val="BF3F762A"/>
    <w:rsid w:val="CBF70113"/>
    <w:rsid w:val="DBF75630"/>
    <w:rsid w:val="E7FE379E"/>
    <w:rsid w:val="EBA199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customStyle="1" w:styleId="2">
    <w:name w:val="正文-公1"/>
    <w:basedOn w:val="1"/>
    <w:next w:val="1"/>
    <w:qFormat/>
    <w:uiPriority w:val="0"/>
    <w:pPr>
      <w:ind w:firstLine="200" w:firstLineChars="200"/>
      <w:jc w:val="left"/>
    </w:pPr>
    <w:rPr>
      <w:rFonts w:ascii="Calibri" w:hAnsi="Calibri" w:eastAsia="仿宋_GB2312" w:cs="Times New Roman"/>
    </w:rPr>
  </w:style>
  <w:style w:type="paragraph" w:styleId="3">
    <w:name w:val="Body Text"/>
    <w:basedOn w:val="1"/>
    <w:next w:val="4"/>
    <w:qFormat/>
    <w:uiPriority w:val="0"/>
    <w:rPr>
      <w:rFonts w:ascii="宋体" w:hAnsi="宋体" w:eastAsia="宋体" w:cs="宋体"/>
      <w:sz w:val="32"/>
      <w:szCs w:val="32"/>
    </w:rPr>
  </w:style>
  <w:style w:type="paragraph" w:styleId="4">
    <w:name w:val="Body Text 2"/>
    <w:basedOn w:val="1"/>
    <w:unhideWhenUsed/>
    <w:qFormat/>
    <w:uiPriority w:val="0"/>
    <w:pPr>
      <w:spacing w:after="120" w:line="480" w:lineRule="auto"/>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394</Words>
  <Characters>429</Characters>
  <Lines>0</Lines>
  <Paragraphs>0</Paragraphs>
  <TotalTime>0</TotalTime>
  <ScaleCrop>false</ScaleCrop>
  <LinksUpToDate>false</LinksUpToDate>
  <CharactersWithSpaces>431</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2025-10-01T01:54:00Z</dcterms:created>
  <dc:creator>丁子</dc:creator>
  <cp:lastModifiedBy>18749692666</cp:lastModifiedBy>
  <dcterms:modified xsi:type="dcterms:W3CDTF">2026-08-03T08:42:12Z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81A5D0EEE0B7468CB0A187CD36E9272E_13</vt:lpwstr>
  </property>
  <property fmtid="{D5CDD505-2E9C-101B-9397-08002B2CF9AE}" pid="4" name="KSOTemplateDocerSaveRecord">
    <vt:lpwstr>eyJoZGlkIjoiY2QwZjZmN2NlNjFkZmY1YWQzNGFjYmM2MDBkYjRlNDciLCJ1c2VySWQiOiIxMDQ0NDE3MjU3In0=</vt:lpwstr>
  </property>
</Properties>
</file>